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МІНІСТЕРСТВО ОСВІТИ І НАУКИ УКРАЇНИ</w:t>
      </w: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ДВНЗ «ПРИКАРПАТСЬКИЙ НАЦІОНАЛЬНИЙ УНІВЕРСИТЕТ</w:t>
      </w: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ІМЕНІ ВАСИЛЯ СТЕФАНИКА»</w:t>
      </w:r>
    </w:p>
    <w:p w:rsidR="0001575E" w:rsidRDefault="00E31D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Навчально-науковий юридичний інститут</w:t>
      </w:r>
    </w:p>
    <w:p w:rsidR="0001575E" w:rsidRDefault="00015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Кафедра трудового, екологічного та аграрного права</w:t>
      </w:r>
    </w:p>
    <w:p w:rsidR="0001575E" w:rsidRDefault="00E31D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СИЛАБУС НАВЧАЛЬНОЇ ДИСЦИПЛІНИ</w:t>
      </w:r>
    </w:p>
    <w:p w:rsidR="0001575E" w:rsidRDefault="00015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  <w:t>ЗАХИСТ ПРАВА НА БЕЗПЕЧНЕ ДОВКІЛЛЯ</w:t>
      </w:r>
    </w:p>
    <w:p w:rsidR="0001575E" w:rsidRDefault="00E31D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1575E" w:rsidRDefault="00E31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      Рівень вищої освіти – перший (бакалаврський)</w:t>
      </w:r>
    </w:p>
    <w:p w:rsidR="0001575E" w:rsidRDefault="00E31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</w:t>
      </w:r>
    </w:p>
    <w:p w:rsidR="0001575E" w:rsidRDefault="00E31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Освітні програми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Екологія</w:t>
      </w: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1575E" w:rsidRDefault="00E31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Спеціальності          101 Екологія</w:t>
      </w: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1575E" w:rsidRDefault="00E31D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Галузі знань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10 Природничі науки</w:t>
      </w:r>
    </w:p>
    <w:p w:rsidR="0001575E" w:rsidRDefault="00015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575E" w:rsidRDefault="000157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1575E" w:rsidRDefault="0001575E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8"/>
          <w:szCs w:val="28"/>
        </w:rPr>
      </w:pPr>
    </w:p>
    <w:p w:rsidR="0001575E" w:rsidRDefault="00E31D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1575E" w:rsidRDefault="00E31DC9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Затверджено на засіданні кафедри</w:t>
      </w:r>
    </w:p>
    <w:p w:rsidR="0001575E" w:rsidRDefault="00E31DC9">
      <w:pPr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 № 7 від 21 лютого 2022р.  </w:t>
      </w:r>
    </w:p>
    <w:p w:rsidR="0001575E" w:rsidRDefault="00E31DC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575E" w:rsidRDefault="000157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 Івано-Франківськ - 2022</w:t>
      </w:r>
    </w:p>
    <w:p w:rsidR="0001575E" w:rsidRDefault="00015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75E" w:rsidRDefault="00E31D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ЗМІСТ</w:t>
      </w:r>
    </w:p>
    <w:p w:rsidR="0001575E" w:rsidRDefault="00E31D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Загальна інформація</w:t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Анотація до навчальної дисципліни</w:t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Мета та цілі навчальної дисципліни</w:t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Результати навчання (компетентності)</w:t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Організація навчання </w:t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оцінювання навчальної дисципліни</w:t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Політика навчальної дисципліни</w:t>
      </w:r>
    </w:p>
    <w:p w:rsidR="0001575E" w:rsidRDefault="00E31DC9">
      <w:pPr>
        <w:numPr>
          <w:ilvl w:val="0"/>
          <w:numId w:val="1"/>
        </w:numPr>
        <w:spacing w:after="0" w:line="360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Рекомендована література</w:t>
      </w:r>
    </w:p>
    <w:p w:rsidR="0001575E" w:rsidRDefault="00E31DC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tbl>
      <w:tblPr>
        <w:tblStyle w:val="a7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17"/>
        <w:gridCol w:w="613"/>
        <w:gridCol w:w="714"/>
        <w:gridCol w:w="613"/>
        <w:gridCol w:w="610"/>
        <w:gridCol w:w="2246"/>
        <w:gridCol w:w="1321"/>
        <w:gridCol w:w="1011"/>
      </w:tblGrid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 Загальна інформація</w:t>
            </w:r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дисципліни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Захист права на безпечне довкілля </w:t>
            </w:r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Викладач (-і)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Мороз Галина Василівна, доц., к.ю.н., доцент кафедри трудового, екологічного та аграрного права</w:t>
            </w:r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Контактний телефон викладача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Мороз Галина Василівна (0342)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507822</w:t>
            </w:r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викладача 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Мороз Галина Василівна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galyna.moroz@pnu.edu.ua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sz w:val="24"/>
                <w:szCs w:val="24"/>
                <w:highlight w:val="white"/>
              </w:rPr>
              <w:t> </w:t>
            </w:r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Формат дисципліни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Очний</w:t>
            </w:r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Обсяг дисципліни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кредити ЄКТС, 90 год.</w:t>
            </w:r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Посилання на сайт дистанційного навчання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79BD7"/>
                  <w:sz w:val="24"/>
                  <w:szCs w:val="24"/>
                  <w:highlight w:val="white"/>
                  <w:u w:val="single"/>
                </w:rPr>
                <w:t>http://www.d-learn.pu.if.ua</w:t>
              </w:r>
            </w:hyperlink>
          </w:p>
        </w:tc>
      </w:tr>
      <w:tr w:rsidR="0001575E"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Консультації</w:t>
            </w:r>
          </w:p>
        </w:tc>
        <w:tc>
          <w:tcPr>
            <w:tcW w:w="58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Консультації проводяться відпо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відно до Графіку індивідуальних занять зі студентами,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розміщеному на інформаційному стенді та сайті кафедри </w:t>
            </w:r>
            <w:hyperlink r:id="rId7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https://ktetap.pnu.edu.ua/навчальні-дисципліни/</w:t>
              </w:r>
            </w:hyperlink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Також можливі консультації шляхом листування через електронну пошту. 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 Анотація до навчальної дисципліни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Стрімке зростання техносфери, інтенсивний розвиток промисловості все більше актуалізують проблему практичної реалізації та захисту права на безпечне для життя і здоров’я довкілля кожної фізичної особи. Негативні екологічні (антропогенні) фактори напряму вп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ливають на основні показники здоров’я населення. Відтак можливість дихати чистим повітрям, споживати чисту питну воду, вільно користуватися природними багатствами тощо повинні гарантуватись на законодавчому рівні. </w:t>
            </w:r>
          </w:p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на безпечне для життя і здоров’я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вкілля закріплено у відповідних актах екологічного законодавства, а також в гл. 21 Цивільного кодексу України, що надає можливість використання конкретних цивільно-правових засобів захисту суб’єктивних прав особи в екологічній сфері та сприяє забезпеченню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їх реалізації. Кожен вправі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вимагати від держави, юридичних і фізичних осіб виконання ними обов’язків для забезпечення такого стану довкілля, який не порушує право на безпечне довкілля, а вразі його порушення звертатися з вимогою про захист порушеного 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  </w:t>
            </w:r>
          </w:p>
          <w:p w:rsidR="0001575E" w:rsidRDefault="00E31DC9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 рамках пропонованого спецкурсу  будуть досліджені питання: </w:t>
            </w:r>
          </w:p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змісту та структури права на безпечне довкілля;</w:t>
            </w:r>
          </w:p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юридичних критеріїв безпеки довкілля;</w:t>
            </w:r>
          </w:p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системи гарантій забезпечення права на безпечне довкілля;</w:t>
            </w:r>
          </w:p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правових способів захисту права на безпечне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довкілля;</w:t>
            </w:r>
          </w:p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судової практики розгляду категорії спорів, що виникають у зв’язку із порушенням права на безпечне довкілля.</w:t>
            </w:r>
          </w:p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огляду на доведеність причинно-наслідкових зв’язків між станом здоров’я людини та впливом на нього факторів довкілля даний спецкурс є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ктуальним в рамках спеціальності 101 Екологія. Важливо, щоб випускники вищих навчальних закладів володіли необхідними знаннями щодо змісту основного з екологічних прав  - права на безпечне довкілля та дієвих способів його захисту.     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 Мета та цілі нав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чальної дисципліни 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Метою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вивчення навчальної дисципліни «Захист права на безпечне довкілля» є формування системи знань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щодо можливостей ефективної реалізації права на безпечне довкілля, а також механізмів дієвого захисту даного права в адміністративному та судовому порядку.   </w:t>
            </w:r>
          </w:p>
          <w:p w:rsidR="0001575E" w:rsidRDefault="00E31DC9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lastRenderedPageBreak/>
              <w:t>Основними цілями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вивчення дисципліни «Захист права на безпечне довкілля» є набуття студентами знань та розуміння змісту положень нормативно-правових актів, що регламентують в</w:t>
            </w:r>
            <w:r>
              <w:rPr>
                <w:rFonts w:ascii="Times New Roman" w:eastAsia="Times New Roman" w:hAnsi="Times New Roman" w:cs="Times New Roman"/>
              </w:rPr>
              <w:t>сі критерії безпечності навколишнього природного середовища та його окремих компонентів, які містя</w:t>
            </w:r>
            <w:r>
              <w:rPr>
                <w:rFonts w:ascii="Times New Roman" w:eastAsia="Times New Roman" w:hAnsi="Times New Roman" w:cs="Times New Roman"/>
              </w:rPr>
              <w:t xml:space="preserve">ться у стандартах і нормативах, а також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визначають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юридичні засоби захисту і забезпечення прав та інтересів громадян в галузі охорони навколишнього природного середовища.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4. Результати навчання (компетентності)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Загальні компетентності: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до абст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рактного мислення, аналізу та синтезу джерел права, що стосуються змісту права на безпечне довкілля та способів його захисту.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застосовувати знання правових норм, що регулюють відносини з реалізації та захисту права на екологічну безпеку, у практи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чних ситуаціях.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Знання природоохоронних вимог та правових вимог екологічної безпеки в процесі природокористування.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спілкуватися з експертами з інших галузей, володіючи знаннями природоохоронного законодавства.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до пошуку, оброблення 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аналізу інформації з різних джерел, в тому числі і нормативно-правових актів.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реалізовувати свої права і обов’язки як члена суспільства, усвідомлювати цінності громадянського (вільного, демократичного) суспільства та необхідність його сталого 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звитку, верховенство права, прав і свобод людини.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Прагнення до збереження навколишнього середовища.</w:t>
            </w:r>
          </w:p>
          <w:p w:rsidR="0001575E" w:rsidRDefault="00015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Фахові компетентності: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Готовність до комунікації в усній та письмовій формах на державній мові України, а також іноземній мові в межах вирішення завдань професійної діяльності.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Знання та розуміння теоретичних основ екології, охорони довкілля та екологічно безпечного природокори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стування.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Знання сучасних досягнень національного та міжнародного екологічного законодавства.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інформувати громадськість про стан екологічної безпеки та збалансованого природокористування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діяти соціально відповідально та екологічно св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ідомо.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1575E" w:rsidRDefault="00E31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до використання сучасних інформаційних ресурсів для екологічних досліджень.</w:t>
            </w:r>
          </w:p>
          <w:p w:rsidR="0001575E" w:rsidRDefault="00E31D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Екологічні мислення і свідомість, ставлення до природи як до унікальної цінності, що забезпечує умови проживання людства, особиста відповідальність за стан довкіл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 на місцевому, регіональному, національному та глобальному рівнях.</w:t>
            </w:r>
          </w:p>
          <w:p w:rsidR="0001575E" w:rsidRDefault="00015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Програмні результати навчання:</w:t>
            </w:r>
          </w:p>
          <w:p w:rsidR="0001575E" w:rsidRDefault="00E31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Формулювати, розуміти та тлумачити основні екологічні закони, правила та принципи охорони довкілля та природокористування.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Розв’язувати проблеми у сфері захисту права на безпечне навколишнього середовища із застосуванням загальноприйнятих та/або стандартних підходів та міжнародного і вітчизняного досвіду.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Уміти формувати запити та визначати дії, що забезпечують виконання норм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 вимог екологічного законодавства.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Розуміти і реалізовувати свої права та обов’язки як члена суспільства, усвідомлювати цінності вільного демократичного суспільства, верховенства права, прав і свобод людини і громадянина в Україні.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демонструвати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знання природоохоронного права.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Вдосконалювати знання і навички за допомогою довідкової та нормативної літератури, відповідної документації для вирішення практичних завдань, пов’язаних з професійною діяльністю.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5. Організація навчання 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Обсяг навчальної дисципліни</w:t>
            </w:r>
          </w:p>
        </w:tc>
      </w:tr>
      <w:tr w:rsidR="0001575E">
        <w:tc>
          <w:tcPr>
            <w:tcW w:w="4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заняття</w:t>
            </w:r>
          </w:p>
        </w:tc>
        <w:tc>
          <w:tcPr>
            <w:tcW w:w="5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Загальна кількість годин</w:t>
            </w:r>
          </w:p>
        </w:tc>
      </w:tr>
      <w:tr w:rsidR="0001575E">
        <w:tc>
          <w:tcPr>
            <w:tcW w:w="4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лекції</w:t>
            </w:r>
          </w:p>
        </w:tc>
        <w:tc>
          <w:tcPr>
            <w:tcW w:w="5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01575E">
        <w:tc>
          <w:tcPr>
            <w:tcW w:w="4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семінарські заняття / практичні / лабораторні</w:t>
            </w:r>
          </w:p>
        </w:tc>
        <w:tc>
          <w:tcPr>
            <w:tcW w:w="5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01575E">
        <w:tc>
          <w:tcPr>
            <w:tcW w:w="4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самостійна робота</w:t>
            </w:r>
          </w:p>
        </w:tc>
        <w:tc>
          <w:tcPr>
            <w:tcW w:w="51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Ознаки навчальної дисципліни</w:t>
            </w:r>
          </w:p>
        </w:tc>
      </w:tr>
      <w:tr w:rsidR="0001575E"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575E" w:rsidRDefault="00E31DC9">
            <w:pPr>
              <w:spacing w:after="0" w:line="240" w:lineRule="auto"/>
              <w:ind w:left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575E" w:rsidRDefault="00E31DC9">
            <w:pPr>
              <w:spacing w:after="0" w:line="240" w:lineRule="auto"/>
              <w:ind w:left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Спеціальність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ind w:left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  <w:p w:rsidR="0001575E" w:rsidRDefault="00E31DC9">
            <w:pPr>
              <w:spacing w:after="0" w:line="240" w:lineRule="auto"/>
              <w:ind w:left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(рік навчання)</w:t>
            </w:r>
          </w:p>
        </w:tc>
        <w:tc>
          <w:tcPr>
            <w:tcW w:w="2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ind w:left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Нормативна /</w:t>
            </w:r>
          </w:p>
          <w:p w:rsidR="0001575E" w:rsidRDefault="00E31DC9">
            <w:pPr>
              <w:spacing w:after="0" w:line="240" w:lineRule="auto"/>
              <w:ind w:left="1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вибіркова</w:t>
            </w:r>
          </w:p>
        </w:tc>
      </w:tr>
      <w:tr w:rsidR="0001575E"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будь-який</w:t>
            </w:r>
          </w:p>
        </w:tc>
        <w:tc>
          <w:tcPr>
            <w:tcW w:w="2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Pr="00E31DC9" w:rsidRDefault="00E31DC9" w:rsidP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 Екологія </w:t>
            </w:r>
            <w:bookmarkStart w:id="0" w:name="_GoBack"/>
            <w:bookmarkEnd w:id="0"/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будь-який</w:t>
            </w:r>
          </w:p>
        </w:tc>
        <w:tc>
          <w:tcPr>
            <w:tcW w:w="2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вибіркова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Тематика навчальної дисципліни</w:t>
            </w:r>
          </w:p>
        </w:tc>
      </w:tr>
      <w:tr w:rsidR="0001575E">
        <w:tc>
          <w:tcPr>
            <w:tcW w:w="476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 </w:t>
            </w:r>
          </w:p>
        </w:tc>
        <w:tc>
          <w:tcPr>
            <w:tcW w:w="4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год.</w:t>
            </w:r>
          </w:p>
        </w:tc>
      </w:tr>
      <w:tr w:rsidR="0001575E">
        <w:tc>
          <w:tcPr>
            <w:tcW w:w="476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0157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лекції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заняття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сам. роб.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Екологічні права у системі конституційних та міжнародних прав людини і громадянина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 на безпечне навколишнє природне середовище – центральний елемент системи екологічних прав громадян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 </w:t>
            </w:r>
            <w:r>
              <w:rPr>
                <w:rFonts w:ascii="Times New Roman" w:eastAsia="Times New Roman" w:hAnsi="Times New Roman" w:cs="Times New Roman"/>
              </w:rPr>
              <w:t xml:space="preserve">Система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гарантій реалізації та захисту екологічних прав громадян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0157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ормування і стандартизація  в сфері забезпечення екологічної безпеки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Юридичні засади захисту права громадян на безпечне довкілля 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01575E" w:rsidRDefault="00015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Відповідальність у системі гарантій реалізації та захисту екологічних прав громадян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 Принципи адміністративно-правової охорони права на безпечне довкілля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pStyle w:val="3"/>
              <w:shd w:val="clear" w:color="auto" w:fill="FFFFFF"/>
              <w:spacing w:before="0" w:after="30"/>
              <w:ind w:right="30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Тема 8.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00"/>
                </w:rPr>
                <w:t>Правові питання компенсації шкоди, заподіяної порушенням права на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безпечне довкілля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01575E" w:rsidRDefault="00015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pStyle w:val="3"/>
              <w:shd w:val="clear" w:color="auto" w:fill="FFFFFF"/>
              <w:spacing w:before="0" w:after="30"/>
              <w:ind w:right="-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Тема 9.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00"/>
                </w:rPr>
                <w:t>Проблеми доступу до правосуддя при захисті екологічних прав</w:t>
              </w:r>
            </w:hyperlink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Міжнародно-правові аспекти судового захисту екологічних прав громадян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1575E"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ЗАГ.: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6. Система оцінювання навчальної дисципліни</w:t>
            </w:r>
          </w:p>
        </w:tc>
      </w:tr>
      <w:tr w:rsidR="0001575E"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Загальна система оцінювання навчальної дисципліни</w:t>
            </w:r>
          </w:p>
        </w:tc>
        <w:tc>
          <w:tcPr>
            <w:tcW w:w="6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015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Style w:val="a8"/>
              <w:tblW w:w="6299" w:type="dxa"/>
              <w:tblInd w:w="0" w:type="dxa"/>
              <w:tblLayout w:type="fixed"/>
              <w:tblLook w:val="0400" w:firstRow="0" w:lastRow="0" w:firstColumn="0" w:lastColumn="0" w:noHBand="0" w:noVBand="1"/>
            </w:tblPr>
            <w:tblGrid>
              <w:gridCol w:w="2330"/>
              <w:gridCol w:w="3969"/>
            </w:tblGrid>
            <w:tr w:rsidR="0001575E">
              <w:trPr>
                <w:trHeight w:val="109"/>
              </w:trPr>
              <w:tc>
                <w:tcPr>
                  <w:tcW w:w="6299" w:type="dxa"/>
                  <w:gridSpan w:val="2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Накопичування балів під час вивчення дисципліни </w:t>
                  </w:r>
                </w:p>
              </w:tc>
            </w:tr>
            <w:tr w:rsidR="0001575E">
              <w:trPr>
                <w:trHeight w:val="267"/>
              </w:trPr>
              <w:tc>
                <w:tcPr>
                  <w:tcW w:w="2330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Види навчальної роботи </w:t>
                  </w:r>
                </w:p>
              </w:tc>
              <w:tc>
                <w:tcPr>
                  <w:tcW w:w="3969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Максимальна к-кість балів </w:t>
                  </w:r>
                </w:p>
              </w:tc>
            </w:tr>
            <w:tr w:rsidR="0001575E">
              <w:trPr>
                <w:trHeight w:val="109"/>
              </w:trPr>
              <w:tc>
                <w:tcPr>
                  <w:tcW w:w="2330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lastRenderedPageBreak/>
                    <w:t>Лекція </w:t>
                  </w:r>
                </w:p>
              </w:tc>
              <w:tc>
                <w:tcPr>
                  <w:tcW w:w="3969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- </w:t>
                  </w:r>
                </w:p>
              </w:tc>
            </w:tr>
            <w:tr w:rsidR="0001575E">
              <w:trPr>
                <w:trHeight w:val="109"/>
              </w:trPr>
              <w:tc>
                <w:tcPr>
                  <w:tcW w:w="2330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Семінарське заняття </w:t>
                  </w:r>
                </w:p>
              </w:tc>
              <w:tc>
                <w:tcPr>
                  <w:tcW w:w="3969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45 (оцінка за 5-бальною</w:t>
                  </w:r>
                </w:p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системою; за підсумком середній бал множиться на коефіцієнт 9:</w:t>
                  </w:r>
                </w:p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наприклад, 4*9=36) </w:t>
                  </w:r>
                </w:p>
              </w:tc>
            </w:tr>
            <w:tr w:rsidR="0001575E">
              <w:trPr>
                <w:trHeight w:val="109"/>
              </w:trPr>
              <w:tc>
                <w:tcPr>
                  <w:tcW w:w="2330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Індивідуальне завдання </w:t>
                  </w:r>
                </w:p>
              </w:tc>
              <w:tc>
                <w:tcPr>
                  <w:tcW w:w="3969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5</w:t>
                  </w:r>
                </w:p>
              </w:tc>
            </w:tr>
            <w:tr w:rsidR="0001575E">
              <w:trPr>
                <w:trHeight w:val="109"/>
              </w:trPr>
              <w:tc>
                <w:tcPr>
                  <w:tcW w:w="2330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Контрольна робота</w:t>
                  </w:r>
                </w:p>
              </w:tc>
              <w:tc>
                <w:tcPr>
                  <w:tcW w:w="3969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50 </w:t>
                  </w:r>
                </w:p>
              </w:tc>
            </w:tr>
            <w:tr w:rsidR="0001575E">
              <w:trPr>
                <w:trHeight w:val="109"/>
              </w:trPr>
              <w:tc>
                <w:tcPr>
                  <w:tcW w:w="2330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Максимальна кількість балів </w:t>
                  </w:r>
                </w:p>
              </w:tc>
              <w:tc>
                <w:tcPr>
                  <w:tcW w:w="3969" w:type="dxa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01575E" w:rsidRDefault="00E31DC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</w:rPr>
                    <w:t>100 </w:t>
                  </w:r>
                </w:p>
              </w:tc>
            </w:tr>
          </w:tbl>
          <w:p w:rsidR="0001575E" w:rsidRDefault="00015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575E"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Вимоги до письмової роботи</w:t>
            </w:r>
          </w:p>
        </w:tc>
        <w:tc>
          <w:tcPr>
            <w:tcW w:w="6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дисципліни передбачає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обов’язкове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виконання всіма студентами одної письмової модульної контрольної роботи. Робота виконується на 7 семінарському занятті та охоплює два змістових модулі.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контрольну виноситься 2 описових завдання, які оцінюється по 10 балів, питання порівняльного характе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 (10 балів), 2 тестові запитання (по 5 балів) та завдання практичного характеру (10 балів). Максимальний бал за контрольну становить 50.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 бажанням (для отримання додаткових до 5 балів)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студенти можуть виконувати індивідуальні завдання за темою відпові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дного семінарського заняття. Види, приклади підготовки та критерії оцінювання індивідуальних завдань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знаходяться на кафедрі та розміщені на сайті кафедри </w:t>
            </w:r>
            <w:hyperlink r:id="rId10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https://ktetap.pnu.edu.ua/денна-форма-навчання-3/</w:t>
              </w:r>
            </w:hyperlink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</w:tr>
      <w:tr w:rsidR="0001575E"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Семінарські заняття</w:t>
            </w:r>
          </w:p>
        </w:tc>
        <w:tc>
          <w:tcPr>
            <w:tcW w:w="6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оцінювання семіна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рських занять: поточні оцінки успішності та контролю самостійної роботи студентів (5 – «відмінно», 4 – «добре», 3 – «задовільно», 2 – «незадовільно» ) – виставляються під час проведення семінарських (практичних, лабораторних) занять. </w:t>
            </w:r>
          </w:p>
        </w:tc>
      </w:tr>
      <w:tr w:rsidR="0001575E"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Умови допуску до під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сумкового контролю</w:t>
            </w:r>
          </w:p>
        </w:tc>
        <w:tc>
          <w:tcPr>
            <w:tcW w:w="6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результатами контролю знань на семінарських (практичних, лабораторних) заняттях в кінці семестру виводиться підсумкова оцінка за семінарські (практичні, лабораторні) заняття та самостійну роботу як середнє арифметичне всіх отриманих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цінок за семінарські (практичні) заняття і оцінок самостійної роботи. Підсумковий бал розраховується та виставляється викладачем на останньому семінарському (практичному) занятті та складається з суми підсумкового балу за семінарські (практичні) заняття 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самостійну роботу (максимально 45 балів), балу за модульну контрольну роботу (максимально 50 балів) і балу за індивідуальну роботу (максимально 5 балів) та в сукупності становить максимально 100 балів. </w:t>
            </w:r>
          </w:p>
        </w:tc>
      </w:tr>
      <w:tr w:rsidR="0001575E"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Підсумковий контроль</w:t>
            </w:r>
          </w:p>
        </w:tc>
        <w:tc>
          <w:tcPr>
            <w:tcW w:w="65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Підсумковий контроль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залік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письмовій формі.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залік виноситься 5 описових завдань, які оцінюється по 20 балів.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Максимальний бал за залік становить 100 балів.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7. Політика навчальної дисципліни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Письмові роботи:</w:t>
            </w:r>
          </w:p>
          <w:p w:rsidR="0001575E" w:rsidRDefault="00E31DC9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Планується виконання студентами обов’язкових та додаткових декількох видів письмових робіт: обов’язкової письмової контрольної роботи, письмових тестових завдань за темами, винесеними на самостійне опрацювання (перелік міститься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Методичних вказівках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підготовки до семінарських (практичних) занять), письмових експрес-опитувань на семінарських заняттях тощо, а також додаткових письмових індивідуальних завдань, –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Методичні вказівки розміщені на сайті кафедри </w:t>
            </w:r>
            <w:hyperlink r:id="rId11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https://ktetap.pnu.edu.ua/навчально-методичні-матеріали/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1575E" w:rsidRDefault="00E31DC9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Академічна доброчесність:</w:t>
            </w:r>
          </w:p>
          <w:p w:rsidR="0001575E" w:rsidRDefault="00E31DC9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Очікуєть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ся, що студенти будуть дотримуватися принципів академічної доброчесності, усвідомлюючи наслідки її порушення, що визначається Положенням про запобігання та виявлення плагіату у ДВНЗ «Прикарпатський національний університет імені Василя Стефаника» </w:t>
            </w:r>
            <w:hyperlink r:id="rId12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https://pnu.edu.ua/положення-про-зап</w:t>
              </w:r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обігання-плагіату/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1575E" w:rsidRDefault="00E31DC9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Відвідування занять</w:t>
            </w:r>
          </w:p>
          <w:p w:rsidR="0001575E" w:rsidRDefault="00E31DC9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Відвідання занять є важливою складовою навчання. Очікується, що всі студенти відвідають лекції і практичні заняття. </w:t>
            </w:r>
          </w:p>
          <w:p w:rsidR="0001575E" w:rsidRDefault="00E31DC9">
            <w:pPr>
              <w:spacing w:after="0" w:line="240" w:lineRule="auto"/>
              <w:ind w:firstLine="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Пропуски семінарських (практичних, лабораторних) занять відпрацьовуються в обов’язковому порядку. Студент зобов’язаний відпрацювати пропущене заняття впродовж двох тижнів з дня пропуску заняття. 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8. Рекомендована література</w:t>
            </w:r>
          </w:p>
        </w:tc>
      </w:tr>
      <w:tr w:rsidR="0001575E">
        <w:tc>
          <w:tcPr>
            <w:tcW w:w="93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Краснова М.В., Краснова Ю.А. Реалізація та захист екологічних прав громадян: теоретико-правові аспекти: наукове видання. Київ: ФОП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Ямчинський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О.В., 2021. 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Екологічне право України: підручник / За ред. А. П. Гетьмана, М. В. Шульги. Харків: Право, 2009.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огічне право України. Особлива частина: навч. Посібник / О. М. Шуміло (кер. авт. кол.), В. А. Зуєв, І. В. Бригадир та ін. К.: ЦУЛ, 2013.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Екологічне право України. Академічний курс: підручник / За ред. Ю. С. Шемшученка. К.: Юридична думка, 2005.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Кобецька Н.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Р. Екологічне право України: навч. посіб. К.: Юрінком Інтер, 2009.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Кобецька Н.Р. Екологічні права громадян України: автореф. дис.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наук. ст. к.ю.н.: спец. 12.00.06. Київ, 1998. 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Костицький В. В. Екологічне право України: підручник. Дрогобич: Коло,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2012.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Медведєв К.В. Екологічні права громадян України: гарантії їх судового захисту: дис. … канд. юрид. наук: 12.00.06. Київ. нац. ун-т ім. Т. Шевченка. Київ, 2012.</w:t>
            </w:r>
          </w:p>
          <w:p w:rsidR="0001575E" w:rsidRDefault="00E31DC9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64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Кравець Я.В. Екологічні суди: порівняльно-правовий аналіз. Одеса, 2018. </w:t>
            </w:r>
            <w:hyperlink r:id="rId13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http://dspace.onua.edu.ua/bitstream/handle/11300/9756/atrium%20environmental.pdf?sequence=1&amp;isAllowed=y</w:t>
              </w:r>
            </w:hyperlink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Детальний перелік монографічної, наукової, науково-практичної літератури, нормативних джерел та інформаційних ресурсів до кожної теми міститься в навчально-методичних посібниках, розміщених на сторінці кафедри та наданих студентам на першому навчальному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нятті. </w:t>
            </w:r>
          </w:p>
          <w:p w:rsidR="0001575E" w:rsidRDefault="00E31D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https://ktetap.pnu.edu.ua/денна-форма-навчання-2/</w:t>
              </w:r>
            </w:hyperlink>
          </w:p>
        </w:tc>
      </w:tr>
    </w:tbl>
    <w:p w:rsidR="0001575E" w:rsidRDefault="0001575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575E" w:rsidRDefault="00E31DC9">
      <w:pPr>
        <w:spacing w:after="0" w:line="240" w:lineRule="auto"/>
        <w:jc w:val="right"/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Викладач 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доц. Г. В. Мороз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01575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476CD"/>
    <w:multiLevelType w:val="multilevel"/>
    <w:tmpl w:val="C1A6A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C0604"/>
    <w:multiLevelType w:val="multilevel"/>
    <w:tmpl w:val="E30A92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75E"/>
    <w:rsid w:val="0001575E"/>
    <w:rsid w:val="00E3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207D1"/>
  <w15:docId w15:val="{A624E455-81C1-4543-8044-EBB9187C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3F2D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Заголовок 3 Знак"/>
    <w:basedOn w:val="a0"/>
    <w:link w:val="3"/>
    <w:uiPriority w:val="9"/>
    <w:rsid w:val="003F2D8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styleId="a4">
    <w:name w:val="Hyperlink"/>
    <w:basedOn w:val="a0"/>
    <w:uiPriority w:val="99"/>
    <w:unhideWhenUsed/>
    <w:rsid w:val="003F2D84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C74BA3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nuir.vnu.edu.ua/handle/123456789/1346" TargetMode="External"/><Relationship Id="rId13" Type="http://schemas.openxmlformats.org/officeDocument/2006/relationships/hyperlink" Target="http://dspace.onua.edu.ua/bitstream/handle/11300/9756/atrium%20environmental.pdf?sequence=1&amp;isAllowed=y" TargetMode="External"/><Relationship Id="rId3" Type="http://schemas.openxmlformats.org/officeDocument/2006/relationships/styles" Target="styles.xml"/><Relationship Id="rId7" Type="http://schemas.openxmlformats.org/officeDocument/2006/relationships/hyperlink" Target="https://ktetap.pnu.edu.ua/%D0%BD%D0%B0%D0%B2%D1%87%D0%B0%D0%BB%D1%8C%D0%BD%D1%96-%D0%B4%D0%B8%D1%81%D1%86%D0%B8%D0%BF%D0%BB%D1%96%D0%BD%D0%B8/" TargetMode="External"/><Relationship Id="rId12" Type="http://schemas.openxmlformats.org/officeDocument/2006/relationships/hyperlink" Target="https://pnu.edu.ua/%D0%BF%D0%BE%D0%BB%D0%BE%D0%B6%D0%B5%D0%BD%D0%BD%D1%8F-%D0%BF%D1%80%D0%BE-%D0%B7%D0%B0%D0%BF%D0%BE%D0%B1%D1%96%D0%B3%D0%B0%D0%BD%D0%BD%D1%8F-%D0%BF%D0%BB%D0%B0%D0%B3%D1%96%D0%B0%D1%82%D1%83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d-learn.pu.if.ua/" TargetMode="External"/><Relationship Id="rId11" Type="http://schemas.openxmlformats.org/officeDocument/2006/relationships/hyperlink" Target="https://ktetap.pnu.edu.ua/%D0%BD%D0%B0%D0%B2%D1%87%D0%B0%D0%BB%D1%8C%D0%BD%D0%BE-%D0%BC%D0%B5%D1%82%D0%BE%D0%B4%D0%B8%D1%87%D0%BD%D1%96-%D0%BC%D0%B0%D1%82%D0%B5%D1%80%D1%96%D0%B0%D0%BB%D0%B8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ktetap.pnu.edu.ua/%D0%B4%D0%B5%D0%BD%D0%BD%D0%B0-%D1%84%D0%BE%D1%80%D0%BC%D0%B0-%D0%BD%D0%B0%D0%B2%D1%87%D0%B0%D0%BD%D0%BD%D1%8F-3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eol.com/search/article-detail?id=539179" TargetMode="External"/><Relationship Id="rId14" Type="http://schemas.openxmlformats.org/officeDocument/2006/relationships/hyperlink" Target="https://ktetap.pnu.edu.ua/%D0%B4%D0%B5%D0%BD%D0%BD%D0%B0-%D1%84%D0%BE%D1%80%D0%BC%D0%B0-%D0%BD%D0%B0%D0%B2%D1%87%D0%B0%D0%BD%D0%BD%D1%8F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28frjY+qZ9ft1s2A4Z3uPzqwWg==">AMUW2mVu9s3yxQg1kApMZQuYAqfh6OqEWz3jZco3y4fxfM4CjDbtOyMZeqziJcsxA/i2dcX0qAdFpqtqMCpgPZXyGitq8Qgp0GSL4ePsN882JDz2fQPQHy7tfLQbXXqpnWpHXvrfZx1a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2181</Words>
  <Characters>12438</Characters>
  <Application>Microsoft Office Word</Application>
  <DocSecurity>0</DocSecurity>
  <Lines>103</Lines>
  <Paragraphs>29</Paragraphs>
  <ScaleCrop>false</ScaleCrop>
  <Company/>
  <LinksUpToDate>false</LinksUpToDate>
  <CharactersWithSpaces>14590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2022-03-24T20:08:00Z</dcterms:created>
  <dcterms:modified xsi:type="dcterms:W3CDTF">2022-03-26T11:35:00Z</dcterms:modified>
</cp:coreProperties>
</file>